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883A" w14:textId="2BAE4B47" w:rsidR="00B2608E" w:rsidRDefault="002400DE" w:rsidP="002400DE">
      <w:pPr>
        <w:spacing w:before="100" w:beforeAutospacing="1" w:after="100" w:afterAutospacing="1"/>
        <w:jc w:val="center"/>
        <w:rPr>
          <w:rFonts w:ascii="Arial" w:eastAsia="Times New Roman" w:hAnsi="Arial" w:cs="Arial"/>
          <w:sz w:val="32"/>
          <w:u w:val="single"/>
        </w:rPr>
      </w:pPr>
      <w:r w:rsidRPr="007279FC">
        <w:rPr>
          <w:rFonts w:ascii="Arial" w:eastAsia="Times New Roman" w:hAnsi="Arial" w:cs="Arial"/>
          <w:sz w:val="32"/>
          <w:u w:val="single"/>
        </w:rPr>
        <w:t>Arizona approach to Genetic Services</w:t>
      </w:r>
      <w:r w:rsidR="00B2608E" w:rsidRPr="007279FC">
        <w:rPr>
          <w:rFonts w:ascii="Arial" w:eastAsia="Times New Roman" w:hAnsi="Arial" w:cs="Arial"/>
          <w:sz w:val="32"/>
          <w:u w:val="single"/>
        </w:rPr>
        <w:t xml:space="preserve"> in </w:t>
      </w:r>
      <w:r w:rsidRPr="007279FC">
        <w:rPr>
          <w:rFonts w:ascii="Arial" w:eastAsia="Times New Roman" w:hAnsi="Arial" w:cs="Arial"/>
          <w:sz w:val="32"/>
          <w:u w:val="single"/>
        </w:rPr>
        <w:t xml:space="preserve">children with </w:t>
      </w:r>
      <w:r w:rsidR="00B2608E" w:rsidRPr="007279FC">
        <w:rPr>
          <w:rFonts w:ascii="Arial" w:eastAsia="Times New Roman" w:hAnsi="Arial" w:cs="Arial"/>
          <w:sz w:val="32"/>
          <w:u w:val="single"/>
        </w:rPr>
        <w:t>Developmental Delay</w:t>
      </w:r>
    </w:p>
    <w:p w14:paraId="2543EA16" w14:textId="77777777" w:rsidR="007279FC" w:rsidRPr="007279FC" w:rsidRDefault="007279FC" w:rsidP="002400DE">
      <w:pPr>
        <w:spacing w:before="100" w:beforeAutospacing="1" w:after="100" w:afterAutospacing="1"/>
        <w:jc w:val="center"/>
        <w:rPr>
          <w:rFonts w:ascii="Arial" w:eastAsia="Times New Roman" w:hAnsi="Arial" w:cs="Arial"/>
          <w:sz w:val="32"/>
          <w:u w:val="single"/>
        </w:rPr>
      </w:pPr>
    </w:p>
    <w:p w14:paraId="12166CA5" w14:textId="588AAFE5" w:rsidR="00B2608E" w:rsidRPr="002400DE" w:rsidRDefault="00B2608E" w:rsidP="00B2608E">
      <w:pPr>
        <w:pStyle w:val="NormalWeb"/>
        <w:jc w:val="both"/>
        <w:rPr>
          <w:rFonts w:ascii="Arial" w:hAnsi="Arial" w:cs="Arial"/>
          <w:b/>
          <w:sz w:val="20"/>
          <w:szCs w:val="20"/>
        </w:rPr>
      </w:pPr>
      <w:r w:rsidRPr="002400DE">
        <w:rPr>
          <w:rFonts w:ascii="Arial" w:hAnsi="Arial" w:cs="Arial"/>
          <w:b/>
          <w:sz w:val="20"/>
          <w:szCs w:val="20"/>
        </w:rPr>
        <w:t>Primary care providers may consider initiating genetic diagnostic testing for patients with developmental delay when access to genetic services is limited</w:t>
      </w:r>
      <w:r w:rsidR="002400DE">
        <w:rPr>
          <w:rFonts w:ascii="Arial" w:hAnsi="Arial" w:cs="Arial"/>
          <w:b/>
          <w:sz w:val="20"/>
          <w:szCs w:val="20"/>
        </w:rPr>
        <w:t xml:space="preserve"> or wait time is long</w:t>
      </w:r>
      <w:r w:rsidRPr="002400DE">
        <w:rPr>
          <w:rFonts w:ascii="Arial" w:hAnsi="Arial" w:cs="Arial"/>
          <w:b/>
          <w:sz w:val="20"/>
          <w:szCs w:val="20"/>
        </w:rPr>
        <w:t xml:space="preserve">. </w:t>
      </w:r>
    </w:p>
    <w:p w14:paraId="7F46D9BD" w14:textId="77777777" w:rsidR="00B2608E" w:rsidRPr="00B2608E" w:rsidRDefault="00B2608E" w:rsidP="002400DE">
      <w:pPr>
        <w:pStyle w:val="NormalWeb"/>
        <w:numPr>
          <w:ilvl w:val="0"/>
          <w:numId w:val="12"/>
        </w:numPr>
        <w:jc w:val="both"/>
        <w:rPr>
          <w:rFonts w:ascii="Arial" w:hAnsi="Arial" w:cs="Arial"/>
          <w:sz w:val="20"/>
          <w:szCs w:val="20"/>
        </w:rPr>
      </w:pPr>
      <w:r w:rsidRPr="00B2608E">
        <w:rPr>
          <w:rFonts w:ascii="Arial" w:hAnsi="Arial" w:cs="Arial"/>
          <w:sz w:val="20"/>
          <w:szCs w:val="20"/>
        </w:rPr>
        <w:t xml:space="preserve">The American Academy of Pediatrics has published their statement on appropriate genetic evaluation of children with developmental delay: see Moeschler et al Pediatrics 2014. </w:t>
      </w:r>
    </w:p>
    <w:p w14:paraId="5C1C14AE" w14:textId="2B0DF4E3" w:rsidR="00B2608E" w:rsidRPr="00B2608E" w:rsidRDefault="00B2608E" w:rsidP="002400DE">
      <w:pPr>
        <w:pStyle w:val="NormalWeb"/>
        <w:numPr>
          <w:ilvl w:val="0"/>
          <w:numId w:val="12"/>
        </w:numPr>
        <w:jc w:val="both"/>
        <w:rPr>
          <w:rFonts w:ascii="Arial" w:hAnsi="Arial" w:cs="Arial"/>
          <w:sz w:val="20"/>
          <w:szCs w:val="20"/>
        </w:rPr>
      </w:pPr>
      <w:r w:rsidRPr="00B2608E">
        <w:rPr>
          <w:rFonts w:ascii="Arial" w:hAnsi="Arial" w:cs="Arial"/>
          <w:sz w:val="20"/>
          <w:szCs w:val="20"/>
        </w:rPr>
        <w:t xml:space="preserve">Ensure that acute neurological concerns are addressed with appropriate evaluation and not deferred until after genetic testing. </w:t>
      </w:r>
    </w:p>
    <w:p w14:paraId="3C523C24" w14:textId="6BD0EC5A" w:rsidR="00B2608E" w:rsidRDefault="00B2608E" w:rsidP="002400DE">
      <w:pPr>
        <w:pStyle w:val="NormalWeb"/>
        <w:numPr>
          <w:ilvl w:val="0"/>
          <w:numId w:val="12"/>
        </w:numPr>
        <w:jc w:val="both"/>
        <w:rPr>
          <w:rFonts w:ascii="Arial" w:hAnsi="Arial" w:cs="Arial"/>
          <w:sz w:val="20"/>
          <w:szCs w:val="20"/>
        </w:rPr>
      </w:pPr>
      <w:r w:rsidRPr="00B2608E">
        <w:rPr>
          <w:rFonts w:ascii="Arial" w:hAnsi="Arial" w:cs="Arial"/>
          <w:sz w:val="20"/>
          <w:szCs w:val="20"/>
        </w:rPr>
        <w:t xml:space="preserve">Referrals for developmental </w:t>
      </w:r>
      <w:r w:rsidR="000351F7" w:rsidRPr="000351F7">
        <w:rPr>
          <w:rFonts w:ascii="Arial" w:hAnsi="Arial" w:cs="Arial"/>
          <w:sz w:val="20"/>
          <w:szCs w:val="20"/>
        </w:rPr>
        <w:t xml:space="preserve">therapies and services that address developmental </w:t>
      </w:r>
      <w:r w:rsidR="000351F7" w:rsidRPr="000351F7">
        <w:rPr>
          <w:rFonts w:ascii="Arial" w:hAnsi="Arial" w:cs="Arial"/>
          <w:sz w:val="20"/>
          <w:szCs w:val="20"/>
        </w:rPr>
        <w:t>concerns</w:t>
      </w:r>
      <w:r w:rsidR="000351F7" w:rsidRPr="00B2608E">
        <w:rPr>
          <w:rFonts w:ascii="Arial" w:hAnsi="Arial" w:cs="Arial"/>
          <w:sz w:val="20"/>
          <w:szCs w:val="20"/>
        </w:rPr>
        <w:t xml:space="preserve"> should</w:t>
      </w:r>
      <w:r w:rsidRPr="00B2608E">
        <w:rPr>
          <w:rFonts w:ascii="Arial" w:hAnsi="Arial" w:cs="Arial"/>
          <w:sz w:val="20"/>
          <w:szCs w:val="20"/>
        </w:rPr>
        <w:t xml:space="preserve"> be made concurrently with a genetic evaluation. </w:t>
      </w:r>
    </w:p>
    <w:p w14:paraId="284B9969" w14:textId="77777777" w:rsidR="004437BE" w:rsidRPr="00B2608E" w:rsidRDefault="004437BE" w:rsidP="004437BE">
      <w:pPr>
        <w:pStyle w:val="NormalWeb"/>
        <w:ind w:left="720"/>
        <w:jc w:val="both"/>
        <w:rPr>
          <w:rFonts w:ascii="Arial" w:hAnsi="Arial" w:cs="Arial"/>
          <w:sz w:val="20"/>
          <w:szCs w:val="20"/>
        </w:rPr>
      </w:pPr>
    </w:p>
    <w:p w14:paraId="49377969" w14:textId="3A43F5EF" w:rsidR="00B2608E" w:rsidRPr="007279FC" w:rsidRDefault="002400DE" w:rsidP="00B2608E">
      <w:pPr>
        <w:pStyle w:val="NormalWeb"/>
        <w:jc w:val="both"/>
        <w:rPr>
          <w:rFonts w:ascii="Arial" w:hAnsi="Arial" w:cs="Arial"/>
          <w:sz w:val="28"/>
          <w:szCs w:val="20"/>
        </w:rPr>
      </w:pPr>
      <w:r w:rsidRPr="007279FC">
        <w:rPr>
          <w:rFonts w:ascii="Arial" w:hAnsi="Arial" w:cs="Arial"/>
          <w:sz w:val="28"/>
          <w:szCs w:val="20"/>
        </w:rPr>
        <w:t>Tiered r</w:t>
      </w:r>
      <w:r w:rsidR="00B2608E" w:rsidRPr="007279FC">
        <w:rPr>
          <w:rFonts w:ascii="Arial" w:hAnsi="Arial" w:cs="Arial"/>
          <w:sz w:val="28"/>
          <w:szCs w:val="20"/>
        </w:rPr>
        <w:t xml:space="preserve">ecommendations are as follows: </w:t>
      </w:r>
    </w:p>
    <w:p w14:paraId="27054EE3" w14:textId="77777777" w:rsidR="002400DE" w:rsidRPr="007279FC" w:rsidRDefault="00B2608E" w:rsidP="00B2608E">
      <w:pPr>
        <w:pStyle w:val="NormalWeb"/>
        <w:jc w:val="both"/>
        <w:rPr>
          <w:rFonts w:ascii="Arial" w:hAnsi="Arial" w:cs="Arial"/>
          <w:b/>
          <w:szCs w:val="20"/>
          <w:u w:val="single"/>
        </w:rPr>
      </w:pPr>
      <w:r w:rsidRPr="007279FC">
        <w:rPr>
          <w:rFonts w:ascii="Arial" w:hAnsi="Arial" w:cs="Arial"/>
          <w:b/>
          <w:szCs w:val="20"/>
          <w:u w:val="single"/>
        </w:rPr>
        <w:t xml:space="preserve">Tier 1 </w:t>
      </w:r>
    </w:p>
    <w:p w14:paraId="15055AC5" w14:textId="11B02A1E" w:rsidR="00B2608E" w:rsidRPr="007279FC" w:rsidRDefault="002400DE" w:rsidP="002400DE">
      <w:pPr>
        <w:pStyle w:val="NormalWeb"/>
        <w:jc w:val="both"/>
        <w:rPr>
          <w:rFonts w:ascii="Arial" w:hAnsi="Arial" w:cs="Arial"/>
          <w:b/>
          <w:i/>
          <w:sz w:val="22"/>
          <w:szCs w:val="20"/>
        </w:rPr>
      </w:pPr>
      <w:r w:rsidRPr="007279FC">
        <w:rPr>
          <w:rFonts w:ascii="Arial" w:hAnsi="Arial" w:cs="Arial"/>
          <w:b/>
          <w:i/>
          <w:sz w:val="22"/>
          <w:szCs w:val="20"/>
        </w:rPr>
        <w:t>M</w:t>
      </w:r>
      <w:r w:rsidR="00B2608E" w:rsidRPr="007279FC">
        <w:rPr>
          <w:rFonts w:ascii="Arial" w:hAnsi="Arial" w:cs="Arial"/>
          <w:b/>
          <w:i/>
          <w:sz w:val="22"/>
          <w:szCs w:val="20"/>
        </w:rPr>
        <w:t xml:space="preserve">olecular </w:t>
      </w:r>
      <w:r w:rsidRPr="007279FC">
        <w:rPr>
          <w:rFonts w:ascii="Arial" w:hAnsi="Arial" w:cs="Arial"/>
          <w:b/>
          <w:i/>
          <w:sz w:val="22"/>
          <w:szCs w:val="20"/>
        </w:rPr>
        <w:t>testing</w:t>
      </w:r>
    </w:p>
    <w:p w14:paraId="24C9438F" w14:textId="77777777" w:rsidR="007279FC" w:rsidRPr="007279FC" w:rsidRDefault="00B2608E" w:rsidP="002400DE">
      <w:pPr>
        <w:pStyle w:val="NormalWeb"/>
        <w:numPr>
          <w:ilvl w:val="0"/>
          <w:numId w:val="6"/>
        </w:numPr>
        <w:spacing w:after="0" w:afterAutospacing="0"/>
        <w:jc w:val="both"/>
        <w:rPr>
          <w:rFonts w:ascii="Arial" w:hAnsi="Arial" w:cs="Arial"/>
          <w:sz w:val="22"/>
          <w:szCs w:val="20"/>
        </w:rPr>
      </w:pPr>
      <w:r w:rsidRPr="007279FC">
        <w:rPr>
          <w:rFonts w:ascii="Arial" w:hAnsi="Arial" w:cs="Arial"/>
          <w:sz w:val="22"/>
          <w:szCs w:val="20"/>
        </w:rPr>
        <w:t xml:space="preserve">Chromosomal microarray </w:t>
      </w:r>
    </w:p>
    <w:p w14:paraId="161ADBAF" w14:textId="27BE7857" w:rsidR="007279FC" w:rsidRPr="007279FC" w:rsidRDefault="007279FC" w:rsidP="007279FC">
      <w:pPr>
        <w:pStyle w:val="NormalWeb"/>
        <w:numPr>
          <w:ilvl w:val="1"/>
          <w:numId w:val="6"/>
        </w:numPr>
        <w:spacing w:after="0" w:afterAutospacing="0"/>
        <w:jc w:val="both"/>
        <w:rPr>
          <w:rFonts w:ascii="Arial" w:hAnsi="Arial" w:cs="Arial"/>
          <w:sz w:val="20"/>
          <w:szCs w:val="20"/>
        </w:rPr>
      </w:pPr>
      <w:r>
        <w:t>Provides copy number of most clinically significant genes (</w:t>
      </w:r>
      <w:proofErr w:type="spellStart"/>
      <w:r>
        <w:t>eg</w:t>
      </w:r>
      <w:proofErr w:type="spellEnd"/>
      <w:r>
        <w:t xml:space="preserve"> deletion, duplication, triplication); can diagnose aneuploidy</w:t>
      </w:r>
    </w:p>
    <w:p w14:paraId="11F694DE" w14:textId="5E8733E6" w:rsidR="007279FC" w:rsidRPr="007279FC" w:rsidRDefault="007279FC" w:rsidP="007279FC">
      <w:pPr>
        <w:pStyle w:val="NormalWeb"/>
        <w:numPr>
          <w:ilvl w:val="1"/>
          <w:numId w:val="6"/>
        </w:numPr>
        <w:spacing w:after="0" w:afterAutospacing="0"/>
        <w:jc w:val="both"/>
        <w:rPr>
          <w:rFonts w:ascii="Arial" w:hAnsi="Arial" w:cs="Arial"/>
          <w:sz w:val="20"/>
          <w:szCs w:val="20"/>
        </w:rPr>
      </w:pPr>
      <w:r>
        <w:t>Roughly two-week turnaround time</w:t>
      </w:r>
    </w:p>
    <w:p w14:paraId="5678AF09" w14:textId="3BB9B5FB" w:rsidR="00B2608E" w:rsidRPr="007279FC" w:rsidRDefault="007279FC" w:rsidP="007279FC">
      <w:pPr>
        <w:pStyle w:val="NormalWeb"/>
        <w:numPr>
          <w:ilvl w:val="0"/>
          <w:numId w:val="6"/>
        </w:numPr>
        <w:spacing w:after="0" w:afterAutospacing="0"/>
        <w:jc w:val="both"/>
        <w:rPr>
          <w:rFonts w:ascii="Arial" w:hAnsi="Arial" w:cs="Arial"/>
          <w:sz w:val="22"/>
          <w:szCs w:val="20"/>
        </w:rPr>
      </w:pPr>
      <w:r w:rsidRPr="007279FC">
        <w:rPr>
          <w:rFonts w:ascii="Arial" w:hAnsi="Arial" w:cs="Arial"/>
          <w:sz w:val="22"/>
          <w:szCs w:val="20"/>
        </w:rPr>
        <w:t>F</w:t>
      </w:r>
      <w:r w:rsidR="00B2608E" w:rsidRPr="007279FC">
        <w:rPr>
          <w:rFonts w:ascii="Arial" w:hAnsi="Arial" w:cs="Arial"/>
          <w:sz w:val="22"/>
          <w:szCs w:val="20"/>
        </w:rPr>
        <w:t>ragile X trinucleotide repeat analysis</w:t>
      </w:r>
    </w:p>
    <w:p w14:paraId="6736D06B" w14:textId="77777777" w:rsidR="007279FC" w:rsidRPr="007279FC" w:rsidRDefault="007279FC" w:rsidP="007279FC">
      <w:pPr>
        <w:pStyle w:val="NormalWeb"/>
        <w:numPr>
          <w:ilvl w:val="1"/>
          <w:numId w:val="6"/>
        </w:numPr>
        <w:spacing w:after="0" w:afterAutospacing="0"/>
        <w:jc w:val="both"/>
        <w:rPr>
          <w:rFonts w:ascii="Arial" w:hAnsi="Arial" w:cs="Arial"/>
          <w:sz w:val="20"/>
          <w:szCs w:val="20"/>
        </w:rPr>
      </w:pPr>
      <w:r>
        <w:t>Caused by a trinucleotide repeat that cannot be detected by methods other than targeted testing</w:t>
      </w:r>
    </w:p>
    <w:p w14:paraId="03DEF6F8" w14:textId="74DA8C06" w:rsidR="007279FC" w:rsidRPr="007279FC" w:rsidRDefault="007279FC" w:rsidP="007279FC">
      <w:pPr>
        <w:pStyle w:val="NormalWeb"/>
        <w:numPr>
          <w:ilvl w:val="1"/>
          <w:numId w:val="6"/>
        </w:numPr>
        <w:spacing w:after="0" w:afterAutospacing="0"/>
        <w:jc w:val="both"/>
        <w:rPr>
          <w:rFonts w:ascii="Arial" w:hAnsi="Arial" w:cs="Arial"/>
          <w:sz w:val="20"/>
          <w:szCs w:val="20"/>
        </w:rPr>
      </w:pPr>
      <w:r>
        <w:t>X-linked disorder, but symptomatic females are not uncommon and thus testing is indicated in both sexes</w:t>
      </w:r>
    </w:p>
    <w:p w14:paraId="56ACA4A4" w14:textId="51FE3C80" w:rsidR="00B2608E" w:rsidRPr="007279FC" w:rsidRDefault="002400DE" w:rsidP="00B2608E">
      <w:pPr>
        <w:pStyle w:val="NormalWeb"/>
        <w:jc w:val="both"/>
        <w:rPr>
          <w:rFonts w:ascii="Arial" w:hAnsi="Arial" w:cs="Arial"/>
          <w:b/>
          <w:i/>
          <w:sz w:val="22"/>
          <w:szCs w:val="20"/>
        </w:rPr>
      </w:pPr>
      <w:r w:rsidRPr="007279FC">
        <w:rPr>
          <w:rFonts w:ascii="Arial" w:hAnsi="Arial" w:cs="Arial"/>
          <w:b/>
          <w:i/>
          <w:sz w:val="22"/>
          <w:szCs w:val="20"/>
        </w:rPr>
        <w:t>Biochemical testing</w:t>
      </w:r>
    </w:p>
    <w:p w14:paraId="6DEC9664" w14:textId="77777777" w:rsidR="00B2608E" w:rsidRPr="007279FC" w:rsidRDefault="00B2608E" w:rsidP="00B2608E">
      <w:pPr>
        <w:pStyle w:val="NormalWeb"/>
        <w:numPr>
          <w:ilvl w:val="0"/>
          <w:numId w:val="7"/>
        </w:numPr>
        <w:jc w:val="both"/>
      </w:pPr>
      <w:r w:rsidRPr="007279FC">
        <w:t>Plasma amino acids</w:t>
      </w:r>
    </w:p>
    <w:p w14:paraId="0AE15296" w14:textId="77777777" w:rsidR="00B2608E" w:rsidRPr="007279FC" w:rsidRDefault="00B2608E" w:rsidP="00B2608E">
      <w:pPr>
        <w:pStyle w:val="NormalWeb"/>
        <w:numPr>
          <w:ilvl w:val="0"/>
          <w:numId w:val="7"/>
        </w:numPr>
        <w:jc w:val="both"/>
      </w:pPr>
      <w:r w:rsidRPr="007279FC">
        <w:t>Urine organic acids</w:t>
      </w:r>
    </w:p>
    <w:p w14:paraId="08F86F99" w14:textId="77777777" w:rsidR="00B2608E" w:rsidRPr="007279FC" w:rsidRDefault="00B2608E" w:rsidP="00B2608E">
      <w:pPr>
        <w:pStyle w:val="NormalWeb"/>
        <w:numPr>
          <w:ilvl w:val="0"/>
          <w:numId w:val="7"/>
        </w:numPr>
        <w:jc w:val="both"/>
      </w:pPr>
      <w:r w:rsidRPr="007279FC">
        <w:t>Plasma total homocysteine</w:t>
      </w:r>
    </w:p>
    <w:p w14:paraId="1617C86D" w14:textId="49351B28" w:rsidR="00B2608E" w:rsidRDefault="00B2608E" w:rsidP="00B2608E">
      <w:pPr>
        <w:pStyle w:val="NormalWeb"/>
        <w:numPr>
          <w:ilvl w:val="0"/>
          <w:numId w:val="7"/>
        </w:numPr>
        <w:jc w:val="both"/>
      </w:pPr>
      <w:r w:rsidRPr="007279FC">
        <w:t xml:space="preserve">Serum carbohydrate deficient transferrin </w:t>
      </w:r>
    </w:p>
    <w:p w14:paraId="444086E2" w14:textId="77777777" w:rsidR="007279FC" w:rsidRDefault="007279FC" w:rsidP="007279FC">
      <w:pPr>
        <w:pStyle w:val="NormalWeb"/>
        <w:jc w:val="both"/>
      </w:pPr>
    </w:p>
    <w:p w14:paraId="7A837419" w14:textId="77777777" w:rsidR="007279FC" w:rsidRDefault="007279FC" w:rsidP="007279FC">
      <w:pPr>
        <w:pStyle w:val="NormalWeb"/>
        <w:jc w:val="both"/>
      </w:pPr>
    </w:p>
    <w:p w14:paraId="2009E7C8" w14:textId="77777777" w:rsidR="007279FC" w:rsidRDefault="007279FC" w:rsidP="007279FC">
      <w:pPr>
        <w:pStyle w:val="NormalWeb"/>
        <w:jc w:val="both"/>
      </w:pPr>
    </w:p>
    <w:p w14:paraId="61DB31C1" w14:textId="77777777" w:rsidR="00B2608E" w:rsidRPr="007279FC" w:rsidRDefault="00B2608E" w:rsidP="00B2608E">
      <w:pPr>
        <w:pStyle w:val="NormalWeb"/>
        <w:jc w:val="both"/>
        <w:rPr>
          <w:rFonts w:ascii="Arial" w:hAnsi="Arial" w:cs="Arial"/>
          <w:b/>
          <w:szCs w:val="20"/>
          <w:u w:val="single"/>
        </w:rPr>
      </w:pPr>
      <w:r w:rsidRPr="007279FC">
        <w:rPr>
          <w:rFonts w:ascii="Arial" w:hAnsi="Arial" w:cs="Arial"/>
          <w:b/>
          <w:szCs w:val="20"/>
          <w:u w:val="single"/>
        </w:rPr>
        <w:lastRenderedPageBreak/>
        <w:t xml:space="preserve">Tier 2 </w:t>
      </w:r>
    </w:p>
    <w:p w14:paraId="14BB1926" w14:textId="77777777" w:rsidR="002400DE" w:rsidRPr="007279FC" w:rsidRDefault="002400DE" w:rsidP="002400DE">
      <w:pPr>
        <w:pStyle w:val="NormalWeb"/>
        <w:jc w:val="both"/>
        <w:rPr>
          <w:rFonts w:ascii="Arial" w:hAnsi="Arial" w:cs="Arial"/>
          <w:b/>
          <w:i/>
          <w:sz w:val="22"/>
          <w:szCs w:val="20"/>
        </w:rPr>
      </w:pPr>
      <w:r w:rsidRPr="007279FC">
        <w:rPr>
          <w:rFonts w:ascii="Arial" w:hAnsi="Arial" w:cs="Arial"/>
          <w:b/>
          <w:i/>
          <w:sz w:val="22"/>
          <w:szCs w:val="20"/>
        </w:rPr>
        <w:t>Molecular testing</w:t>
      </w:r>
    </w:p>
    <w:p w14:paraId="66BE6C5E" w14:textId="77777777" w:rsidR="00B2608E" w:rsidRPr="007279FC" w:rsidRDefault="00B2608E" w:rsidP="00B2608E">
      <w:pPr>
        <w:pStyle w:val="NormalWeb"/>
        <w:numPr>
          <w:ilvl w:val="0"/>
          <w:numId w:val="9"/>
        </w:numPr>
        <w:jc w:val="both"/>
        <w:rPr>
          <w:rFonts w:ascii="Arial" w:hAnsi="Arial" w:cs="Arial"/>
          <w:sz w:val="22"/>
          <w:szCs w:val="20"/>
        </w:rPr>
      </w:pPr>
      <w:r w:rsidRPr="007279FC">
        <w:rPr>
          <w:rFonts w:ascii="Arial" w:hAnsi="Arial" w:cs="Arial"/>
          <w:sz w:val="22"/>
          <w:szCs w:val="20"/>
        </w:rPr>
        <w:t>Large gene sequencing panel of developmental delay-associated genes</w:t>
      </w:r>
    </w:p>
    <w:p w14:paraId="30D1466F" w14:textId="6412A5C1" w:rsidR="007279FC" w:rsidRPr="00B2608E" w:rsidRDefault="007279FC" w:rsidP="007279FC">
      <w:pPr>
        <w:pStyle w:val="NormalWeb"/>
        <w:numPr>
          <w:ilvl w:val="1"/>
          <w:numId w:val="9"/>
        </w:numPr>
        <w:jc w:val="both"/>
        <w:rPr>
          <w:rFonts w:ascii="Arial" w:hAnsi="Arial" w:cs="Arial"/>
          <w:b/>
          <w:sz w:val="20"/>
          <w:szCs w:val="20"/>
        </w:rPr>
      </w:pPr>
      <w:r>
        <w:t>Ideally trio-based including both biological parents to reduce the likelihood of uncertain variants; if not trio testing initially, then parental samples are likely to be needed subsequently for confirmation of diagnosis</w:t>
      </w:r>
    </w:p>
    <w:p w14:paraId="0E406588" w14:textId="112EA60B" w:rsidR="00B2608E" w:rsidRPr="002400DE" w:rsidRDefault="002400DE" w:rsidP="00B2608E">
      <w:pPr>
        <w:pStyle w:val="NormalWeb"/>
        <w:jc w:val="both"/>
        <w:rPr>
          <w:rFonts w:ascii="Arial" w:hAnsi="Arial" w:cs="Arial"/>
          <w:b/>
          <w:i/>
          <w:sz w:val="20"/>
          <w:szCs w:val="20"/>
        </w:rPr>
      </w:pPr>
      <w:r w:rsidRPr="002400DE">
        <w:rPr>
          <w:rFonts w:ascii="Arial" w:hAnsi="Arial" w:cs="Arial"/>
          <w:b/>
          <w:i/>
          <w:sz w:val="20"/>
          <w:szCs w:val="20"/>
        </w:rPr>
        <w:t>Biochemical testing</w:t>
      </w:r>
    </w:p>
    <w:p w14:paraId="36FC16D3" w14:textId="77777777" w:rsidR="00B2608E" w:rsidRPr="00B2608E" w:rsidRDefault="00B2608E" w:rsidP="00B2608E">
      <w:pPr>
        <w:pStyle w:val="NormalWeb"/>
        <w:numPr>
          <w:ilvl w:val="0"/>
          <w:numId w:val="10"/>
        </w:numPr>
        <w:jc w:val="both"/>
        <w:rPr>
          <w:rFonts w:ascii="Arial" w:hAnsi="Arial" w:cs="Arial"/>
          <w:sz w:val="20"/>
          <w:szCs w:val="20"/>
        </w:rPr>
      </w:pPr>
      <w:r w:rsidRPr="00B2608E">
        <w:rPr>
          <w:rFonts w:ascii="Arial" w:hAnsi="Arial" w:cs="Arial"/>
          <w:sz w:val="20"/>
          <w:szCs w:val="20"/>
        </w:rPr>
        <w:t>Urine &amp; plasma creatine and guanidinoacetate</w:t>
      </w:r>
    </w:p>
    <w:p w14:paraId="7BDD88A7" w14:textId="05712AE9" w:rsidR="00B2608E" w:rsidRDefault="00B2608E" w:rsidP="00B2608E">
      <w:pPr>
        <w:pStyle w:val="NormalWeb"/>
        <w:numPr>
          <w:ilvl w:val="0"/>
          <w:numId w:val="10"/>
        </w:numPr>
        <w:jc w:val="both"/>
        <w:rPr>
          <w:rFonts w:ascii="Arial" w:hAnsi="Arial" w:cs="Arial"/>
          <w:sz w:val="20"/>
          <w:szCs w:val="20"/>
        </w:rPr>
      </w:pPr>
      <w:r w:rsidRPr="00B2608E">
        <w:rPr>
          <w:rFonts w:ascii="Arial" w:hAnsi="Arial" w:cs="Arial"/>
          <w:sz w:val="20"/>
          <w:szCs w:val="20"/>
        </w:rPr>
        <w:t>Urine purines and pyrimidines</w:t>
      </w:r>
    </w:p>
    <w:p w14:paraId="6187F134" w14:textId="08FB5784" w:rsidR="00B2608E" w:rsidRPr="00B2608E" w:rsidRDefault="00B2608E" w:rsidP="00B2608E">
      <w:pPr>
        <w:pStyle w:val="NormalWeb"/>
        <w:numPr>
          <w:ilvl w:val="0"/>
          <w:numId w:val="10"/>
        </w:numPr>
        <w:jc w:val="both"/>
        <w:rPr>
          <w:rFonts w:ascii="Arial" w:hAnsi="Arial" w:cs="Arial"/>
          <w:sz w:val="20"/>
          <w:szCs w:val="20"/>
        </w:rPr>
      </w:pPr>
      <w:r>
        <w:rPr>
          <w:rFonts w:ascii="Arial" w:hAnsi="Arial" w:cs="Arial"/>
          <w:sz w:val="20"/>
          <w:szCs w:val="20"/>
        </w:rPr>
        <w:t>Plasma very long chain fatty acids</w:t>
      </w:r>
    </w:p>
    <w:p w14:paraId="1CB59E6C" w14:textId="5FE7BA5D" w:rsidR="00B2608E" w:rsidRDefault="00B2608E" w:rsidP="00B2608E">
      <w:pPr>
        <w:pStyle w:val="NormalWeb"/>
        <w:numPr>
          <w:ilvl w:val="0"/>
          <w:numId w:val="10"/>
        </w:numPr>
        <w:jc w:val="both"/>
        <w:rPr>
          <w:rFonts w:ascii="Arial" w:hAnsi="Arial" w:cs="Arial"/>
          <w:sz w:val="20"/>
          <w:szCs w:val="20"/>
        </w:rPr>
      </w:pPr>
      <w:r w:rsidRPr="00B2608E">
        <w:rPr>
          <w:rFonts w:ascii="Arial" w:hAnsi="Arial" w:cs="Arial"/>
          <w:sz w:val="20"/>
          <w:szCs w:val="20"/>
        </w:rPr>
        <w:t xml:space="preserve">WBC lysosomal enzyme panel </w:t>
      </w:r>
    </w:p>
    <w:p w14:paraId="57E55973" w14:textId="46407AC3" w:rsidR="00B2608E" w:rsidRPr="002400DE" w:rsidRDefault="00B2608E" w:rsidP="00B2608E">
      <w:pPr>
        <w:pStyle w:val="NormalWeb"/>
        <w:jc w:val="both"/>
        <w:rPr>
          <w:rFonts w:ascii="Arial" w:hAnsi="Arial" w:cs="Arial"/>
          <w:b/>
          <w:sz w:val="20"/>
          <w:szCs w:val="20"/>
          <w:u w:val="single"/>
        </w:rPr>
      </w:pPr>
      <w:r w:rsidRPr="002400DE">
        <w:rPr>
          <w:rFonts w:ascii="Arial" w:hAnsi="Arial" w:cs="Arial"/>
          <w:b/>
          <w:sz w:val="20"/>
          <w:szCs w:val="20"/>
          <w:u w:val="single"/>
        </w:rPr>
        <w:t>Tier 3</w:t>
      </w:r>
    </w:p>
    <w:p w14:paraId="32B25BEA" w14:textId="31D081A5" w:rsidR="00B2608E" w:rsidRDefault="00B2608E" w:rsidP="00B2608E">
      <w:pPr>
        <w:pStyle w:val="NormalWeb"/>
        <w:numPr>
          <w:ilvl w:val="0"/>
          <w:numId w:val="11"/>
        </w:numPr>
        <w:jc w:val="both"/>
        <w:rPr>
          <w:rFonts w:ascii="Arial" w:hAnsi="Arial" w:cs="Arial"/>
          <w:sz w:val="20"/>
          <w:szCs w:val="20"/>
        </w:rPr>
      </w:pPr>
      <w:r>
        <w:rPr>
          <w:rFonts w:ascii="Arial" w:hAnsi="Arial" w:cs="Arial"/>
          <w:sz w:val="20"/>
          <w:szCs w:val="20"/>
        </w:rPr>
        <w:t>Whole exome sequencing may be considered</w:t>
      </w:r>
    </w:p>
    <w:p w14:paraId="270A6FCF" w14:textId="51231823" w:rsidR="00B2608E" w:rsidRDefault="00B2608E" w:rsidP="00B2608E">
      <w:pPr>
        <w:pStyle w:val="NormalWeb"/>
        <w:numPr>
          <w:ilvl w:val="0"/>
          <w:numId w:val="11"/>
        </w:numPr>
        <w:jc w:val="both"/>
        <w:rPr>
          <w:rFonts w:ascii="Arial" w:hAnsi="Arial" w:cs="Arial"/>
          <w:sz w:val="20"/>
          <w:szCs w:val="20"/>
        </w:rPr>
      </w:pPr>
      <w:r>
        <w:rPr>
          <w:rFonts w:ascii="Arial" w:hAnsi="Arial" w:cs="Arial"/>
          <w:sz w:val="20"/>
          <w:szCs w:val="20"/>
        </w:rPr>
        <w:t xml:space="preserve">See </w:t>
      </w:r>
      <w:hyperlink r:id="rId8" w:history="1">
        <w:r w:rsidRPr="000915C9">
          <w:rPr>
            <w:rStyle w:val="Hyperlink"/>
            <w:rFonts w:ascii="Arial" w:hAnsi="Arial" w:cs="Arial"/>
            <w:sz w:val="20"/>
            <w:szCs w:val="20"/>
          </w:rPr>
          <w:t>www.treatable-id.org</w:t>
        </w:r>
      </w:hyperlink>
      <w:r>
        <w:rPr>
          <w:rFonts w:ascii="Arial" w:hAnsi="Arial" w:cs="Arial"/>
          <w:sz w:val="20"/>
          <w:szCs w:val="20"/>
        </w:rPr>
        <w:t xml:space="preserve"> for a </w:t>
      </w:r>
      <w:r w:rsidRPr="00B2608E">
        <w:rPr>
          <w:rFonts w:ascii="Arial" w:hAnsi="Arial" w:cs="Arial"/>
          <w:sz w:val="20"/>
          <w:szCs w:val="20"/>
        </w:rPr>
        <w:t>testing algorithm and information on diagnoses that have specific treatment and can be diagnosed with biochemical testing.</w:t>
      </w:r>
    </w:p>
    <w:p w14:paraId="6A5AF54A" w14:textId="77777777" w:rsidR="002400DE" w:rsidRDefault="002400DE" w:rsidP="002400DE">
      <w:pPr>
        <w:pStyle w:val="NormalWeb"/>
        <w:jc w:val="both"/>
        <w:rPr>
          <w:rFonts w:ascii="Arial" w:hAnsi="Arial" w:cs="Arial"/>
          <w:sz w:val="20"/>
          <w:szCs w:val="20"/>
        </w:rPr>
      </w:pPr>
    </w:p>
    <w:p w14:paraId="799714E3" w14:textId="77777777" w:rsidR="002400DE" w:rsidRPr="002400DE" w:rsidRDefault="002400DE" w:rsidP="00B2608E">
      <w:pPr>
        <w:pStyle w:val="NormalWeb"/>
        <w:jc w:val="both"/>
        <w:rPr>
          <w:rFonts w:ascii="Arial" w:hAnsi="Arial" w:cs="Arial"/>
          <w:b/>
          <w:sz w:val="20"/>
          <w:szCs w:val="20"/>
        </w:rPr>
      </w:pPr>
      <w:r w:rsidRPr="002400DE">
        <w:rPr>
          <w:rFonts w:ascii="Arial" w:hAnsi="Arial" w:cs="Arial"/>
          <w:b/>
          <w:sz w:val="20"/>
          <w:szCs w:val="20"/>
        </w:rPr>
        <w:t>Additional considerations:</w:t>
      </w:r>
    </w:p>
    <w:p w14:paraId="154AE063" w14:textId="70E41239" w:rsidR="00B2608E" w:rsidRPr="00B2608E" w:rsidRDefault="00B2608E" w:rsidP="00B2608E">
      <w:pPr>
        <w:pStyle w:val="NormalWeb"/>
        <w:jc w:val="both"/>
        <w:rPr>
          <w:rFonts w:ascii="Arial" w:hAnsi="Arial" w:cs="Arial"/>
          <w:sz w:val="20"/>
          <w:szCs w:val="20"/>
        </w:rPr>
      </w:pPr>
      <w:r w:rsidRPr="00B2608E">
        <w:rPr>
          <w:rFonts w:ascii="Arial" w:hAnsi="Arial" w:cs="Arial"/>
          <w:sz w:val="20"/>
          <w:szCs w:val="20"/>
        </w:rPr>
        <w:t>Families should undergo appropriate informed consent specific to the test that is planned before</w:t>
      </w:r>
      <w:r w:rsidR="000351F7" w:rsidRPr="000351F7">
        <w:t xml:space="preserve"> </w:t>
      </w:r>
      <w:r w:rsidR="000351F7">
        <w:rPr>
          <w:rFonts w:ascii="Arial" w:hAnsi="Arial" w:cs="Arial"/>
          <w:sz w:val="20"/>
          <w:szCs w:val="20"/>
        </w:rPr>
        <w:t>completing</w:t>
      </w:r>
      <w:r w:rsidRPr="00B2608E">
        <w:rPr>
          <w:rFonts w:ascii="Arial" w:hAnsi="Arial" w:cs="Arial"/>
          <w:sz w:val="20"/>
          <w:szCs w:val="20"/>
        </w:rPr>
        <w:t xml:space="preserve"> genetic testing (see attached document). </w:t>
      </w:r>
    </w:p>
    <w:p w14:paraId="748F0191" w14:textId="5472D431" w:rsidR="00B2608E" w:rsidRPr="00B2608E" w:rsidRDefault="00B2608E" w:rsidP="00B2608E">
      <w:pPr>
        <w:pStyle w:val="NormalWeb"/>
        <w:jc w:val="both"/>
        <w:rPr>
          <w:rFonts w:ascii="Arial" w:hAnsi="Arial" w:cs="Arial"/>
          <w:sz w:val="20"/>
          <w:szCs w:val="20"/>
        </w:rPr>
      </w:pPr>
      <w:r w:rsidRPr="00B2608E">
        <w:rPr>
          <w:rFonts w:ascii="Arial" w:hAnsi="Arial" w:cs="Arial"/>
          <w:sz w:val="20"/>
          <w:szCs w:val="20"/>
        </w:rPr>
        <w:t xml:space="preserve">Ensure that insurance approval is obtained prior to testing to avoid large out-of-pocket expenses; this may be performed by the provider’s office or as a benefits investigation by the lab performing the testing (if that service is offered by the lab; see attached document). </w:t>
      </w:r>
    </w:p>
    <w:p w14:paraId="2D3BFC15" w14:textId="1F1EC0EE" w:rsidR="00B2608E" w:rsidRPr="00B2608E" w:rsidRDefault="00B2608E" w:rsidP="00B2608E">
      <w:pPr>
        <w:pStyle w:val="NormalWeb"/>
        <w:jc w:val="both"/>
        <w:rPr>
          <w:rFonts w:ascii="Arial" w:hAnsi="Arial" w:cs="Arial"/>
          <w:sz w:val="20"/>
          <w:szCs w:val="20"/>
        </w:rPr>
      </w:pPr>
      <w:r w:rsidRPr="00B2608E">
        <w:rPr>
          <w:rFonts w:ascii="Arial" w:hAnsi="Arial" w:cs="Arial"/>
          <w:sz w:val="20"/>
          <w:szCs w:val="20"/>
        </w:rPr>
        <w:t xml:space="preserve">Most genetic tests can be performed on a buccal swab rather than a blood sample. </w:t>
      </w:r>
    </w:p>
    <w:p w14:paraId="45835452" w14:textId="79246CDC" w:rsidR="00B2608E" w:rsidRPr="00B2608E" w:rsidRDefault="00B2608E" w:rsidP="00B2608E">
      <w:pPr>
        <w:pStyle w:val="NormalWeb"/>
        <w:jc w:val="both"/>
        <w:rPr>
          <w:rFonts w:ascii="Arial" w:hAnsi="Arial" w:cs="Arial"/>
          <w:sz w:val="20"/>
          <w:szCs w:val="20"/>
        </w:rPr>
      </w:pPr>
      <w:r w:rsidRPr="00B2608E">
        <w:rPr>
          <w:rFonts w:ascii="Arial" w:hAnsi="Arial" w:cs="Arial"/>
          <w:sz w:val="20"/>
          <w:szCs w:val="20"/>
        </w:rPr>
        <w:t xml:space="preserve">Labs will classify each reported genetic variant as either benign, likely benign, variant of uncertain significance (VUS), likely pathogenic or pathogenic. Likely pathogenic or pathogenic results can usually be reported as diagnostic to families if clinical features are compatible with that diagnosis. A VUS may require interpretation from a geneticist to determine clinical significance and may require follow up testing of the child and other family members. </w:t>
      </w:r>
    </w:p>
    <w:p w14:paraId="7953862F" w14:textId="13912AC1" w:rsidR="002B4064" w:rsidRDefault="002400DE" w:rsidP="00B2608E">
      <w:pPr>
        <w:jc w:val="both"/>
      </w:pPr>
      <w:r>
        <w:rPr>
          <w:rFonts w:ascii="Arial" w:hAnsi="Arial" w:cs="Arial"/>
          <w:sz w:val="20"/>
          <w:szCs w:val="20"/>
        </w:rPr>
        <w:t xml:space="preserve">Visit </w:t>
      </w:r>
      <w:hyperlink r:id="rId9" w:history="1">
        <w:r w:rsidR="007279FC">
          <w:rPr>
            <w:rStyle w:val="Hyperlink"/>
          </w:rPr>
          <w:t>https://www.mountainstatesgenetics.org/projects/current-projects/developmentaldelay/</w:t>
        </w:r>
      </w:hyperlink>
      <w:r>
        <w:t xml:space="preserve"> for additional information on developmental delay and genetic resources </w:t>
      </w:r>
    </w:p>
    <w:p w14:paraId="542473F2" w14:textId="77777777" w:rsidR="004437BE" w:rsidRDefault="004437BE" w:rsidP="00B2608E">
      <w:pPr>
        <w:jc w:val="both"/>
      </w:pPr>
    </w:p>
    <w:p w14:paraId="1580F9D0" w14:textId="77777777" w:rsidR="004437BE" w:rsidRDefault="004437BE" w:rsidP="00B2608E">
      <w:pPr>
        <w:jc w:val="both"/>
      </w:pPr>
    </w:p>
    <w:p w14:paraId="0FFC4D73" w14:textId="77777777" w:rsidR="004437BE" w:rsidRPr="00B2608E" w:rsidRDefault="004437BE" w:rsidP="00B2608E">
      <w:pPr>
        <w:jc w:val="both"/>
        <w:rPr>
          <w:rFonts w:ascii="Arial" w:hAnsi="Arial" w:cs="Arial"/>
          <w:sz w:val="20"/>
          <w:szCs w:val="20"/>
        </w:rPr>
      </w:pPr>
    </w:p>
    <w:p w14:paraId="11C02B77" w14:textId="77777777" w:rsidR="007279FC" w:rsidRDefault="007279FC">
      <w:pPr>
        <w:jc w:val="both"/>
        <w:rPr>
          <w:rFonts w:ascii="Arial" w:hAnsi="Arial" w:cs="Arial"/>
          <w:sz w:val="20"/>
          <w:szCs w:val="20"/>
        </w:rPr>
      </w:pPr>
    </w:p>
    <w:p w14:paraId="64D05CBD" w14:textId="621AE863" w:rsidR="007279FC" w:rsidRPr="007279FC" w:rsidRDefault="004437BE">
      <w:pPr>
        <w:jc w:val="both"/>
        <w:rPr>
          <w:rFonts w:ascii="Arial" w:hAnsi="Arial" w:cs="Arial"/>
          <w:sz w:val="16"/>
          <w:szCs w:val="20"/>
        </w:rPr>
      </w:pPr>
      <w:r>
        <w:rPr>
          <w:sz w:val="20"/>
        </w:rPr>
        <w:t>**</w:t>
      </w:r>
      <w:r w:rsidR="007279FC" w:rsidRPr="007279FC">
        <w:rPr>
          <w:sz w:val="20"/>
        </w:rPr>
        <w:t xml:space="preserve">MSRGN </w:t>
      </w:r>
      <w:r w:rsidR="007279FC">
        <w:rPr>
          <w:sz w:val="20"/>
        </w:rPr>
        <w:t xml:space="preserve">and the Arizona team </w:t>
      </w:r>
      <w:r w:rsidR="007279FC" w:rsidRPr="007279FC">
        <w:rPr>
          <w:sz w:val="20"/>
        </w:rPr>
        <w:t>would like to thank all the professionals, individuals and families who assisted in the review of the</w:t>
      </w:r>
      <w:r w:rsidR="00DA4DC0">
        <w:rPr>
          <w:sz w:val="20"/>
        </w:rPr>
        <w:t>se</w:t>
      </w:r>
      <w:r>
        <w:rPr>
          <w:sz w:val="20"/>
        </w:rPr>
        <w:t xml:space="preserve"> documents**</w:t>
      </w:r>
      <w:bookmarkStart w:id="0" w:name="_GoBack"/>
      <w:bookmarkEnd w:id="0"/>
    </w:p>
    <w:sectPr w:rsidR="007279FC" w:rsidRPr="007279FC" w:rsidSect="007279FC">
      <w:headerReference w:type="default" r:id="rId10"/>
      <w:footerReference w:type="default" r:id="rId11"/>
      <w:pgSz w:w="12240" w:h="15840"/>
      <w:pgMar w:top="1440" w:right="1440" w:bottom="1440" w:left="1440" w:header="720" w:footer="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36C4F6" w15:done="0"/>
  <w15:commentEx w15:paraId="5A6BDA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6C4F6" w16cid:durableId="20B4AD3F"/>
  <w16cid:commentId w16cid:paraId="5A6BDAF5" w16cid:durableId="20B4AD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DBB73" w14:textId="77777777" w:rsidR="00980130" w:rsidRDefault="00980130" w:rsidP="002400DE">
      <w:r>
        <w:separator/>
      </w:r>
    </w:p>
  </w:endnote>
  <w:endnote w:type="continuationSeparator" w:id="0">
    <w:p w14:paraId="6C2FAF89" w14:textId="77777777" w:rsidR="00980130" w:rsidRDefault="00980130" w:rsidP="0024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060DD" w14:textId="31330460" w:rsidR="002400DE" w:rsidRPr="004437BE" w:rsidRDefault="002400DE" w:rsidP="007279FC">
    <w:pPr>
      <w:pStyle w:val="Footer"/>
      <w:tabs>
        <w:tab w:val="clear" w:pos="9360"/>
        <w:tab w:val="right" w:pos="10080"/>
      </w:tabs>
      <w:ind w:left="-720"/>
      <w:jc w:val="center"/>
      <w:rPr>
        <w:sz w:val="18"/>
      </w:rPr>
    </w:pPr>
    <w:r w:rsidRPr="004437BE">
      <w:rPr>
        <w:sz w:val="18"/>
      </w:rPr>
      <w:t>This resource is supported by the Health Resources and Services Administration (HRSA) of the U.S. Department of Health and Human Services (HHS) as part of an award totaling $600,000 with 0 percent financed with non-governmental sources. The contents are those of the author(s) and do not necessarily represent the official views of, nor an endorsement, by HRSA, HHS, or the U.S. Government. For more information, please visit HRSA.gov.</w:t>
    </w:r>
  </w:p>
  <w:p w14:paraId="0B618CB7" w14:textId="77777777" w:rsidR="002400DE" w:rsidRDefault="00240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922E0" w14:textId="77777777" w:rsidR="00980130" w:rsidRDefault="00980130" w:rsidP="002400DE">
      <w:r>
        <w:separator/>
      </w:r>
    </w:p>
  </w:footnote>
  <w:footnote w:type="continuationSeparator" w:id="0">
    <w:p w14:paraId="504F14D6" w14:textId="77777777" w:rsidR="00980130" w:rsidRDefault="00980130" w:rsidP="0024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C8C6" w14:textId="3EBD627A" w:rsidR="002400DE" w:rsidRPr="00030BAB" w:rsidRDefault="002400DE" w:rsidP="002400DE">
    <w:pPr>
      <w:pStyle w:val="Header"/>
      <w:jc w:val="center"/>
      <w:rPr>
        <w:b/>
        <w:sz w:val="32"/>
      </w:rPr>
    </w:pPr>
    <w:r w:rsidRPr="00030BAB">
      <w:rPr>
        <w:b/>
        <w:sz w:val="32"/>
      </w:rPr>
      <w:t>Mountain States Genetics Regional Network—Arizona Resources</w:t>
    </w:r>
  </w:p>
  <w:p w14:paraId="71B644B0" w14:textId="0C449965" w:rsidR="002400DE" w:rsidRDefault="002400DE">
    <w:pPr>
      <w:pStyle w:val="Header"/>
    </w:pPr>
  </w:p>
  <w:p w14:paraId="175416D8" w14:textId="77777777" w:rsidR="002400DE" w:rsidRDefault="00240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198"/>
    <w:multiLevelType w:val="hybridMultilevel"/>
    <w:tmpl w:val="397EF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E4CFF"/>
    <w:multiLevelType w:val="hybridMultilevel"/>
    <w:tmpl w:val="FE7A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06D57"/>
    <w:multiLevelType w:val="multilevel"/>
    <w:tmpl w:val="E980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F2646"/>
    <w:multiLevelType w:val="multilevel"/>
    <w:tmpl w:val="20DAA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3055B"/>
    <w:multiLevelType w:val="hybridMultilevel"/>
    <w:tmpl w:val="B5F27FDA"/>
    <w:lvl w:ilvl="0" w:tplc="6FFEEB7C">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C353C"/>
    <w:multiLevelType w:val="hybridMultilevel"/>
    <w:tmpl w:val="B508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5768F"/>
    <w:multiLevelType w:val="multilevel"/>
    <w:tmpl w:val="4958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A7421"/>
    <w:multiLevelType w:val="hybridMultilevel"/>
    <w:tmpl w:val="6566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47EA2"/>
    <w:multiLevelType w:val="hybridMultilevel"/>
    <w:tmpl w:val="35E4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40FDB"/>
    <w:multiLevelType w:val="multilevel"/>
    <w:tmpl w:val="DFF6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34889"/>
    <w:multiLevelType w:val="hybridMultilevel"/>
    <w:tmpl w:val="AFC22ED4"/>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238C7"/>
    <w:multiLevelType w:val="multilevel"/>
    <w:tmpl w:val="E468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819FC"/>
    <w:multiLevelType w:val="hybridMultilevel"/>
    <w:tmpl w:val="24A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3"/>
  </w:num>
  <w:num w:numId="5">
    <w:abstractNumId w:val="2"/>
  </w:num>
  <w:num w:numId="6">
    <w:abstractNumId w:val="4"/>
  </w:num>
  <w:num w:numId="7">
    <w:abstractNumId w:val="1"/>
  </w:num>
  <w:num w:numId="8">
    <w:abstractNumId w:val="12"/>
  </w:num>
  <w:num w:numId="9">
    <w:abstractNumId w:val="10"/>
  </w:num>
  <w:num w:numId="10">
    <w:abstractNumId w:val="8"/>
  </w:num>
  <w:num w:numId="11">
    <w:abstractNumId w:val="5"/>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snroy, Jenee">
    <w15:presenceInfo w15:providerId="AD" w15:userId="S::JSisnroy@azdes.gov::ef141c8a-7621-45c5-8cd7-f13132507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8E"/>
    <w:rsid w:val="000351F7"/>
    <w:rsid w:val="00060FAB"/>
    <w:rsid w:val="001B719E"/>
    <w:rsid w:val="002400DE"/>
    <w:rsid w:val="002441B9"/>
    <w:rsid w:val="004437BE"/>
    <w:rsid w:val="006B42A5"/>
    <w:rsid w:val="007279FC"/>
    <w:rsid w:val="00980130"/>
    <w:rsid w:val="00B2608E"/>
    <w:rsid w:val="00C106D5"/>
    <w:rsid w:val="00DA4DC0"/>
    <w:rsid w:val="00F046BE"/>
    <w:rsid w:val="00F2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0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2608E"/>
    <w:rPr>
      <w:color w:val="0563C1" w:themeColor="hyperlink"/>
      <w:u w:val="single"/>
    </w:rPr>
  </w:style>
  <w:style w:type="character" w:customStyle="1" w:styleId="UnresolvedMention1">
    <w:name w:val="Unresolved Mention1"/>
    <w:basedOn w:val="DefaultParagraphFont"/>
    <w:uiPriority w:val="99"/>
    <w:semiHidden/>
    <w:unhideWhenUsed/>
    <w:rsid w:val="00B2608E"/>
    <w:rPr>
      <w:color w:val="605E5C"/>
      <w:shd w:val="clear" w:color="auto" w:fill="E1DFDD"/>
    </w:rPr>
  </w:style>
  <w:style w:type="paragraph" w:styleId="Header">
    <w:name w:val="header"/>
    <w:basedOn w:val="Normal"/>
    <w:link w:val="HeaderChar"/>
    <w:uiPriority w:val="99"/>
    <w:unhideWhenUsed/>
    <w:rsid w:val="002400DE"/>
    <w:pPr>
      <w:tabs>
        <w:tab w:val="center" w:pos="4680"/>
        <w:tab w:val="right" w:pos="9360"/>
      </w:tabs>
    </w:pPr>
  </w:style>
  <w:style w:type="character" w:customStyle="1" w:styleId="HeaderChar">
    <w:name w:val="Header Char"/>
    <w:basedOn w:val="DefaultParagraphFont"/>
    <w:link w:val="Header"/>
    <w:uiPriority w:val="99"/>
    <w:rsid w:val="002400DE"/>
  </w:style>
  <w:style w:type="paragraph" w:styleId="Footer">
    <w:name w:val="footer"/>
    <w:basedOn w:val="Normal"/>
    <w:link w:val="FooterChar"/>
    <w:uiPriority w:val="99"/>
    <w:unhideWhenUsed/>
    <w:rsid w:val="002400DE"/>
    <w:pPr>
      <w:tabs>
        <w:tab w:val="center" w:pos="4680"/>
        <w:tab w:val="right" w:pos="9360"/>
      </w:tabs>
    </w:pPr>
  </w:style>
  <w:style w:type="character" w:customStyle="1" w:styleId="FooterChar">
    <w:name w:val="Footer Char"/>
    <w:basedOn w:val="DefaultParagraphFont"/>
    <w:link w:val="Footer"/>
    <w:uiPriority w:val="99"/>
    <w:rsid w:val="002400DE"/>
  </w:style>
  <w:style w:type="paragraph" w:styleId="BalloonText">
    <w:name w:val="Balloon Text"/>
    <w:basedOn w:val="Normal"/>
    <w:link w:val="BalloonTextChar"/>
    <w:uiPriority w:val="99"/>
    <w:semiHidden/>
    <w:unhideWhenUsed/>
    <w:rsid w:val="002400DE"/>
    <w:rPr>
      <w:rFonts w:ascii="Tahoma" w:hAnsi="Tahoma" w:cs="Tahoma"/>
      <w:sz w:val="16"/>
      <w:szCs w:val="16"/>
    </w:rPr>
  </w:style>
  <w:style w:type="character" w:customStyle="1" w:styleId="BalloonTextChar">
    <w:name w:val="Balloon Text Char"/>
    <w:basedOn w:val="DefaultParagraphFont"/>
    <w:link w:val="BalloonText"/>
    <w:uiPriority w:val="99"/>
    <w:semiHidden/>
    <w:rsid w:val="002400DE"/>
    <w:rPr>
      <w:rFonts w:ascii="Tahoma" w:hAnsi="Tahoma" w:cs="Tahoma"/>
      <w:sz w:val="16"/>
      <w:szCs w:val="16"/>
    </w:rPr>
  </w:style>
  <w:style w:type="character" w:styleId="CommentReference">
    <w:name w:val="annotation reference"/>
    <w:basedOn w:val="DefaultParagraphFont"/>
    <w:uiPriority w:val="99"/>
    <w:semiHidden/>
    <w:unhideWhenUsed/>
    <w:rsid w:val="00F046BE"/>
    <w:rPr>
      <w:sz w:val="16"/>
      <w:szCs w:val="16"/>
    </w:rPr>
  </w:style>
  <w:style w:type="paragraph" w:styleId="CommentText">
    <w:name w:val="annotation text"/>
    <w:basedOn w:val="Normal"/>
    <w:link w:val="CommentTextChar"/>
    <w:uiPriority w:val="99"/>
    <w:semiHidden/>
    <w:unhideWhenUsed/>
    <w:rsid w:val="00F046BE"/>
    <w:rPr>
      <w:sz w:val="20"/>
      <w:szCs w:val="20"/>
    </w:rPr>
  </w:style>
  <w:style w:type="character" w:customStyle="1" w:styleId="CommentTextChar">
    <w:name w:val="Comment Text Char"/>
    <w:basedOn w:val="DefaultParagraphFont"/>
    <w:link w:val="CommentText"/>
    <w:uiPriority w:val="99"/>
    <w:semiHidden/>
    <w:rsid w:val="00F046BE"/>
    <w:rPr>
      <w:sz w:val="20"/>
      <w:szCs w:val="20"/>
    </w:rPr>
  </w:style>
  <w:style w:type="paragraph" w:styleId="CommentSubject">
    <w:name w:val="annotation subject"/>
    <w:basedOn w:val="CommentText"/>
    <w:next w:val="CommentText"/>
    <w:link w:val="CommentSubjectChar"/>
    <w:uiPriority w:val="99"/>
    <w:semiHidden/>
    <w:unhideWhenUsed/>
    <w:rsid w:val="00F046BE"/>
    <w:rPr>
      <w:b/>
      <w:bCs/>
    </w:rPr>
  </w:style>
  <w:style w:type="character" w:customStyle="1" w:styleId="CommentSubjectChar">
    <w:name w:val="Comment Subject Char"/>
    <w:basedOn w:val="CommentTextChar"/>
    <w:link w:val="CommentSubject"/>
    <w:uiPriority w:val="99"/>
    <w:semiHidden/>
    <w:rsid w:val="00F046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0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2608E"/>
    <w:rPr>
      <w:color w:val="0563C1" w:themeColor="hyperlink"/>
      <w:u w:val="single"/>
    </w:rPr>
  </w:style>
  <w:style w:type="character" w:customStyle="1" w:styleId="UnresolvedMention1">
    <w:name w:val="Unresolved Mention1"/>
    <w:basedOn w:val="DefaultParagraphFont"/>
    <w:uiPriority w:val="99"/>
    <w:semiHidden/>
    <w:unhideWhenUsed/>
    <w:rsid w:val="00B2608E"/>
    <w:rPr>
      <w:color w:val="605E5C"/>
      <w:shd w:val="clear" w:color="auto" w:fill="E1DFDD"/>
    </w:rPr>
  </w:style>
  <w:style w:type="paragraph" w:styleId="Header">
    <w:name w:val="header"/>
    <w:basedOn w:val="Normal"/>
    <w:link w:val="HeaderChar"/>
    <w:uiPriority w:val="99"/>
    <w:unhideWhenUsed/>
    <w:rsid w:val="002400DE"/>
    <w:pPr>
      <w:tabs>
        <w:tab w:val="center" w:pos="4680"/>
        <w:tab w:val="right" w:pos="9360"/>
      </w:tabs>
    </w:pPr>
  </w:style>
  <w:style w:type="character" w:customStyle="1" w:styleId="HeaderChar">
    <w:name w:val="Header Char"/>
    <w:basedOn w:val="DefaultParagraphFont"/>
    <w:link w:val="Header"/>
    <w:uiPriority w:val="99"/>
    <w:rsid w:val="002400DE"/>
  </w:style>
  <w:style w:type="paragraph" w:styleId="Footer">
    <w:name w:val="footer"/>
    <w:basedOn w:val="Normal"/>
    <w:link w:val="FooterChar"/>
    <w:uiPriority w:val="99"/>
    <w:unhideWhenUsed/>
    <w:rsid w:val="002400DE"/>
    <w:pPr>
      <w:tabs>
        <w:tab w:val="center" w:pos="4680"/>
        <w:tab w:val="right" w:pos="9360"/>
      </w:tabs>
    </w:pPr>
  </w:style>
  <w:style w:type="character" w:customStyle="1" w:styleId="FooterChar">
    <w:name w:val="Footer Char"/>
    <w:basedOn w:val="DefaultParagraphFont"/>
    <w:link w:val="Footer"/>
    <w:uiPriority w:val="99"/>
    <w:rsid w:val="002400DE"/>
  </w:style>
  <w:style w:type="paragraph" w:styleId="BalloonText">
    <w:name w:val="Balloon Text"/>
    <w:basedOn w:val="Normal"/>
    <w:link w:val="BalloonTextChar"/>
    <w:uiPriority w:val="99"/>
    <w:semiHidden/>
    <w:unhideWhenUsed/>
    <w:rsid w:val="002400DE"/>
    <w:rPr>
      <w:rFonts w:ascii="Tahoma" w:hAnsi="Tahoma" w:cs="Tahoma"/>
      <w:sz w:val="16"/>
      <w:szCs w:val="16"/>
    </w:rPr>
  </w:style>
  <w:style w:type="character" w:customStyle="1" w:styleId="BalloonTextChar">
    <w:name w:val="Balloon Text Char"/>
    <w:basedOn w:val="DefaultParagraphFont"/>
    <w:link w:val="BalloonText"/>
    <w:uiPriority w:val="99"/>
    <w:semiHidden/>
    <w:rsid w:val="002400DE"/>
    <w:rPr>
      <w:rFonts w:ascii="Tahoma" w:hAnsi="Tahoma" w:cs="Tahoma"/>
      <w:sz w:val="16"/>
      <w:szCs w:val="16"/>
    </w:rPr>
  </w:style>
  <w:style w:type="character" w:styleId="CommentReference">
    <w:name w:val="annotation reference"/>
    <w:basedOn w:val="DefaultParagraphFont"/>
    <w:uiPriority w:val="99"/>
    <w:semiHidden/>
    <w:unhideWhenUsed/>
    <w:rsid w:val="00F046BE"/>
    <w:rPr>
      <w:sz w:val="16"/>
      <w:szCs w:val="16"/>
    </w:rPr>
  </w:style>
  <w:style w:type="paragraph" w:styleId="CommentText">
    <w:name w:val="annotation text"/>
    <w:basedOn w:val="Normal"/>
    <w:link w:val="CommentTextChar"/>
    <w:uiPriority w:val="99"/>
    <w:semiHidden/>
    <w:unhideWhenUsed/>
    <w:rsid w:val="00F046BE"/>
    <w:rPr>
      <w:sz w:val="20"/>
      <w:szCs w:val="20"/>
    </w:rPr>
  </w:style>
  <w:style w:type="character" w:customStyle="1" w:styleId="CommentTextChar">
    <w:name w:val="Comment Text Char"/>
    <w:basedOn w:val="DefaultParagraphFont"/>
    <w:link w:val="CommentText"/>
    <w:uiPriority w:val="99"/>
    <w:semiHidden/>
    <w:rsid w:val="00F046BE"/>
    <w:rPr>
      <w:sz w:val="20"/>
      <w:szCs w:val="20"/>
    </w:rPr>
  </w:style>
  <w:style w:type="paragraph" w:styleId="CommentSubject">
    <w:name w:val="annotation subject"/>
    <w:basedOn w:val="CommentText"/>
    <w:next w:val="CommentText"/>
    <w:link w:val="CommentSubjectChar"/>
    <w:uiPriority w:val="99"/>
    <w:semiHidden/>
    <w:unhideWhenUsed/>
    <w:rsid w:val="00F046BE"/>
    <w:rPr>
      <w:b/>
      <w:bCs/>
    </w:rPr>
  </w:style>
  <w:style w:type="character" w:customStyle="1" w:styleId="CommentSubjectChar">
    <w:name w:val="Comment Subject Char"/>
    <w:basedOn w:val="CommentTextChar"/>
    <w:link w:val="CommentSubject"/>
    <w:uiPriority w:val="99"/>
    <w:semiHidden/>
    <w:rsid w:val="00F04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819">
      <w:bodyDiv w:val="1"/>
      <w:marLeft w:val="0"/>
      <w:marRight w:val="0"/>
      <w:marTop w:val="0"/>
      <w:marBottom w:val="0"/>
      <w:divBdr>
        <w:top w:val="none" w:sz="0" w:space="0" w:color="auto"/>
        <w:left w:val="none" w:sz="0" w:space="0" w:color="auto"/>
        <w:bottom w:val="none" w:sz="0" w:space="0" w:color="auto"/>
        <w:right w:val="none" w:sz="0" w:space="0" w:color="auto"/>
      </w:divBdr>
      <w:divsChild>
        <w:div w:id="836267322">
          <w:marLeft w:val="0"/>
          <w:marRight w:val="0"/>
          <w:marTop w:val="0"/>
          <w:marBottom w:val="0"/>
          <w:divBdr>
            <w:top w:val="none" w:sz="0" w:space="0" w:color="auto"/>
            <w:left w:val="none" w:sz="0" w:space="0" w:color="auto"/>
            <w:bottom w:val="none" w:sz="0" w:space="0" w:color="auto"/>
            <w:right w:val="none" w:sz="0" w:space="0" w:color="auto"/>
          </w:divBdr>
          <w:divsChild>
            <w:div w:id="1850290481">
              <w:marLeft w:val="0"/>
              <w:marRight w:val="0"/>
              <w:marTop w:val="0"/>
              <w:marBottom w:val="0"/>
              <w:divBdr>
                <w:top w:val="none" w:sz="0" w:space="0" w:color="auto"/>
                <w:left w:val="none" w:sz="0" w:space="0" w:color="auto"/>
                <w:bottom w:val="none" w:sz="0" w:space="0" w:color="auto"/>
                <w:right w:val="none" w:sz="0" w:space="0" w:color="auto"/>
              </w:divBdr>
              <w:divsChild>
                <w:div w:id="2173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964984">
          <w:marLeft w:val="0"/>
          <w:marRight w:val="0"/>
          <w:marTop w:val="0"/>
          <w:marBottom w:val="0"/>
          <w:divBdr>
            <w:top w:val="none" w:sz="0" w:space="0" w:color="auto"/>
            <w:left w:val="none" w:sz="0" w:space="0" w:color="auto"/>
            <w:bottom w:val="none" w:sz="0" w:space="0" w:color="auto"/>
            <w:right w:val="none" w:sz="0" w:space="0" w:color="auto"/>
          </w:divBdr>
          <w:divsChild>
            <w:div w:id="282151466">
              <w:marLeft w:val="0"/>
              <w:marRight w:val="0"/>
              <w:marTop w:val="0"/>
              <w:marBottom w:val="0"/>
              <w:divBdr>
                <w:top w:val="none" w:sz="0" w:space="0" w:color="auto"/>
                <w:left w:val="none" w:sz="0" w:space="0" w:color="auto"/>
                <w:bottom w:val="none" w:sz="0" w:space="0" w:color="auto"/>
                <w:right w:val="none" w:sz="0" w:space="0" w:color="auto"/>
              </w:divBdr>
              <w:divsChild>
                <w:div w:id="6557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4136">
      <w:bodyDiv w:val="1"/>
      <w:marLeft w:val="0"/>
      <w:marRight w:val="0"/>
      <w:marTop w:val="0"/>
      <w:marBottom w:val="0"/>
      <w:divBdr>
        <w:top w:val="none" w:sz="0" w:space="0" w:color="auto"/>
        <w:left w:val="none" w:sz="0" w:space="0" w:color="auto"/>
        <w:bottom w:val="none" w:sz="0" w:space="0" w:color="auto"/>
        <w:right w:val="none" w:sz="0" w:space="0" w:color="auto"/>
      </w:divBdr>
      <w:divsChild>
        <w:div w:id="1391230824">
          <w:marLeft w:val="0"/>
          <w:marRight w:val="0"/>
          <w:marTop w:val="0"/>
          <w:marBottom w:val="0"/>
          <w:divBdr>
            <w:top w:val="none" w:sz="0" w:space="0" w:color="auto"/>
            <w:left w:val="none" w:sz="0" w:space="0" w:color="auto"/>
            <w:bottom w:val="none" w:sz="0" w:space="0" w:color="auto"/>
            <w:right w:val="none" w:sz="0" w:space="0" w:color="auto"/>
          </w:divBdr>
          <w:divsChild>
            <w:div w:id="2039044591">
              <w:marLeft w:val="0"/>
              <w:marRight w:val="0"/>
              <w:marTop w:val="0"/>
              <w:marBottom w:val="0"/>
              <w:divBdr>
                <w:top w:val="none" w:sz="0" w:space="0" w:color="auto"/>
                <w:left w:val="none" w:sz="0" w:space="0" w:color="auto"/>
                <w:bottom w:val="none" w:sz="0" w:space="0" w:color="auto"/>
                <w:right w:val="none" w:sz="0" w:space="0" w:color="auto"/>
              </w:divBdr>
              <w:divsChild>
                <w:div w:id="9732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2568">
      <w:bodyDiv w:val="1"/>
      <w:marLeft w:val="0"/>
      <w:marRight w:val="0"/>
      <w:marTop w:val="0"/>
      <w:marBottom w:val="0"/>
      <w:divBdr>
        <w:top w:val="none" w:sz="0" w:space="0" w:color="auto"/>
        <w:left w:val="none" w:sz="0" w:space="0" w:color="auto"/>
        <w:bottom w:val="none" w:sz="0" w:space="0" w:color="auto"/>
        <w:right w:val="none" w:sz="0" w:space="0" w:color="auto"/>
      </w:divBdr>
      <w:divsChild>
        <w:div w:id="345595750">
          <w:marLeft w:val="0"/>
          <w:marRight w:val="0"/>
          <w:marTop w:val="0"/>
          <w:marBottom w:val="0"/>
          <w:divBdr>
            <w:top w:val="none" w:sz="0" w:space="0" w:color="auto"/>
            <w:left w:val="none" w:sz="0" w:space="0" w:color="auto"/>
            <w:bottom w:val="none" w:sz="0" w:space="0" w:color="auto"/>
            <w:right w:val="none" w:sz="0" w:space="0" w:color="auto"/>
          </w:divBdr>
          <w:divsChild>
            <w:div w:id="707486437">
              <w:marLeft w:val="0"/>
              <w:marRight w:val="0"/>
              <w:marTop w:val="0"/>
              <w:marBottom w:val="0"/>
              <w:divBdr>
                <w:top w:val="none" w:sz="0" w:space="0" w:color="auto"/>
                <w:left w:val="none" w:sz="0" w:space="0" w:color="auto"/>
                <w:bottom w:val="none" w:sz="0" w:space="0" w:color="auto"/>
                <w:right w:val="none" w:sz="0" w:space="0" w:color="auto"/>
              </w:divBdr>
              <w:divsChild>
                <w:div w:id="11305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table-i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untainstatesgenetics.org/projects/current-projects/developmentaldelay/"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Arizona Department of Healt Services</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James</dc:creator>
  <cp:lastModifiedBy>Fran Altmaier</cp:lastModifiedBy>
  <cp:revision>3</cp:revision>
  <dcterms:created xsi:type="dcterms:W3CDTF">2019-06-19T20:06:00Z</dcterms:created>
  <dcterms:modified xsi:type="dcterms:W3CDTF">2019-06-19T20:07:00Z</dcterms:modified>
</cp:coreProperties>
</file>